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003139" w:rsidRDefault="00003139" w:rsidP="00C353B7">
      <w:pPr>
        <w:spacing w:line="360" w:lineRule="auto"/>
        <w:jc w:val="both"/>
        <w:rPr>
          <w:rFonts w:ascii="Verdana" w:hAnsi="Verdana"/>
          <w:b/>
          <w:sz w:val="20"/>
        </w:rPr>
      </w:pPr>
      <w:r>
        <w:rPr>
          <w:rFonts w:ascii="Verdana" w:hAnsi="Verdana"/>
          <w:b/>
          <w:sz w:val="20"/>
        </w:rPr>
        <w:t>Μάθημα κορμού</w:t>
      </w:r>
    </w:p>
    <w:p w:rsidR="00003139" w:rsidRPr="00003139" w:rsidRDefault="00003139" w:rsidP="00003139">
      <w:pPr>
        <w:tabs>
          <w:tab w:val="num" w:pos="0"/>
        </w:tabs>
        <w:jc w:val="both"/>
        <w:rPr>
          <w:rFonts w:ascii="Verdana" w:hAnsi="Verdana"/>
          <w:b/>
          <w:i/>
          <w:sz w:val="20"/>
        </w:rPr>
      </w:pPr>
      <w:r w:rsidRPr="00003139">
        <w:rPr>
          <w:rFonts w:ascii="Verdana" w:hAnsi="Verdana"/>
          <w:b/>
          <w:i/>
          <w:sz w:val="20"/>
        </w:rPr>
        <w:t>Ποινικό Δίκαιο για την αντιμετώπιση των εξαρτήσεων Ι</w:t>
      </w:r>
    </w:p>
    <w:p w:rsidR="00003139" w:rsidRPr="00003139" w:rsidRDefault="00003139" w:rsidP="00003139">
      <w:pPr>
        <w:spacing w:line="360" w:lineRule="auto"/>
        <w:jc w:val="both"/>
        <w:rPr>
          <w:rFonts w:ascii="Verdana" w:hAnsi="Verdana"/>
          <w:sz w:val="20"/>
        </w:rPr>
      </w:pPr>
      <w:r w:rsidRPr="00003139">
        <w:rPr>
          <w:rFonts w:ascii="Verdana" w:hAnsi="Verdana"/>
          <w:sz w:val="20"/>
        </w:rPr>
        <w:t xml:space="preserve">Παρουσιάζονται οι βασικές αρχές της ειδικής νομοθεσία για τα ναρκωτικά, ξεκινώντας από τη νομοθετική μεταρρύθμιση που έχει συντελεστεί και τις εθνικές πολιτικές και τη στρατηγική που έχει χαραχθεί. Ακολουθεί η αναλυτική παρουσίαση της έννοιας των ναρκωτικών κατά την ειδική νομοθεσία, η διάκριση ανάμεσα στην ποινική μεταχείριση της διακίνησης και χρήσης ναρκωτικών ουσιών με την παράθεση νομολογιακών παραδειγμάτων, ενώ ιδιαίτερη αναφορά γίνεται στο ζήτημα της διαπίστωσης της εξάρτησης από τα ναρκωτικά και στην ειδική μεταχείριση των εξαρτημένων δραστών.  Στη συνέχεια παρουσιάζεται η μεταχείριση άλλων μορφών εξάρτησης στο  πλαίσιο του ποινικού δικαίου, όπως η εξάρτηση από το αλκοόλ και τα τυχερά παίγνια, ενώ αναφέρονται και προβλήματα που σχετίζονται με την εξάρτηση από τους ηλεκτρονικούς υπολογιστές. </w:t>
      </w:r>
    </w:p>
    <w:p w:rsidR="00C353B7" w:rsidRPr="00C353B7" w:rsidRDefault="00C353B7" w:rsidP="00C353B7">
      <w:pPr>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383EF4"/>
    <w:rsid w:val="00406E8D"/>
    <w:rsid w:val="00617E32"/>
    <w:rsid w:val="00632A1C"/>
    <w:rsid w:val="0067639A"/>
    <w:rsid w:val="00A97A9D"/>
    <w:rsid w:val="00B11001"/>
    <w:rsid w:val="00B9405C"/>
    <w:rsid w:val="00BA2BA1"/>
    <w:rsid w:val="00BB4663"/>
    <w:rsid w:val="00BB58A7"/>
    <w:rsid w:val="00BD4023"/>
    <w:rsid w:val="00C353B7"/>
    <w:rsid w:val="00CE0168"/>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760</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2</cp:revision>
  <cp:lastPrinted>2022-02-01T13:39:00Z</cp:lastPrinted>
  <dcterms:created xsi:type="dcterms:W3CDTF">2022-04-17T19:41:00Z</dcterms:created>
  <dcterms:modified xsi:type="dcterms:W3CDTF">2022-04-17T19:41:00Z</dcterms:modified>
</cp:coreProperties>
</file>